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895" w:rsidRPr="00862081"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sz w:val="24"/>
        </w:rPr>
      </w:pPr>
      <w:bookmarkStart w:id="0" w:name="_GoBack"/>
      <w:bookmarkEnd w:id="0"/>
      <w:r w:rsidRPr="00862081">
        <w:rPr>
          <w:b/>
          <w:sz w:val="24"/>
        </w:rPr>
        <w:t>INTERNATIONAL TRANSIT INSURANCE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Pr="00862081"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sz w:val="24"/>
        </w:rPr>
      </w:pPr>
      <w:r w:rsidRPr="00862081">
        <w:rPr>
          <w:b/>
          <w:sz w:val="24"/>
        </w:rPr>
        <w:t>THE COMPANY</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 w:val="24"/>
        </w:rPr>
      </w:pPr>
      <w:r>
        <w:rPr>
          <w:sz w:val="24"/>
        </w:rPr>
        <w:t xml:space="preserve">ABC Insurance, Inc. (ABC) was founded in 1986 to provide insurance services to the moving and storage industry.  The principals of the firm have over 60 years combined </w:t>
      </w:r>
      <w:r w:rsidR="00862081">
        <w:rPr>
          <w:sz w:val="24"/>
        </w:rPr>
        <w:t>experience</w:t>
      </w:r>
      <w:r>
        <w:rPr>
          <w:sz w:val="24"/>
        </w:rPr>
        <w:t xml:space="preserve"> in providing transit insurance and in settling claims on a worldwide basis.  The company has complete communications facilities including facsimile, telex, and an inbound "toll-free" line.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sz w:val="24"/>
        </w:rPr>
        <w:t xml:space="preserve">All certificate data and claims are monitored through our fully automated computer system.  We can also provide our clients with the ability to dial up our computer from their own to </w:t>
      </w:r>
      <w:proofErr w:type="spellStart"/>
      <w:r>
        <w:rPr>
          <w:sz w:val="24"/>
        </w:rPr>
        <w:t>to</w:t>
      </w:r>
      <w:proofErr w:type="spellEnd"/>
      <w:r>
        <w:rPr>
          <w:sz w:val="24"/>
        </w:rPr>
        <w:t xml:space="preserve"> obtain information on claims files or on outstanding premium</w:t>
      </w:r>
      <w:r>
        <w:rPr>
          <w:rFonts w:cs="Arial"/>
          <w:sz w:val="24"/>
        </w:rPr>
        <w:t xml:space="preserve"> Brian v. State (1980), Ind. App</w:t>
      </w:r>
      <w:proofErr w:type="gramStart"/>
      <w:r>
        <w:rPr>
          <w:rFonts w:cs="Arial"/>
          <w:sz w:val="24"/>
        </w:rPr>
        <w:t>,.</w:t>
      </w:r>
      <w:proofErr w:type="gramEnd"/>
      <w:r>
        <w:rPr>
          <w:rFonts w:cs="Arial"/>
          <w:sz w:val="24"/>
        </w:rPr>
        <w:t xml:space="preserve"> 407 N.E. 2d259</w:t>
      </w:r>
      <w:proofErr w:type="gramStart"/>
      <w:r>
        <w:rPr>
          <w:rFonts w:cs="Arial"/>
          <w:sz w:val="24"/>
        </w:rPr>
        <w:t>,262</w:t>
      </w:r>
      <w:proofErr w:type="gramEnd"/>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Pr="00862081"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4"/>
        </w:rPr>
      </w:pPr>
      <w:r w:rsidRPr="00862081">
        <w:rPr>
          <w:rFonts w:cs="Arial"/>
          <w:b/>
          <w:sz w:val="24"/>
        </w:rPr>
        <w:t>THE PERSONNEL</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cs="Arial"/>
          <w:sz w:val="24"/>
        </w:rPr>
      </w:pPr>
      <w:r>
        <w:rPr>
          <w:rFonts w:cs="Arial"/>
          <w:sz w:val="24"/>
        </w:rPr>
        <w:t xml:space="preserve">Jack Spratt, President, has been associated with the moving and storage industry as an insurance broker for many years.  He is responsible for sales and customer relations.  Jack was initially involved back in 1969 with the creation of the </w:t>
      </w:r>
      <w:proofErr w:type="gramStart"/>
      <w:r>
        <w:rPr>
          <w:rFonts w:cs="Arial"/>
          <w:sz w:val="24"/>
        </w:rPr>
        <w:t>"Transit-Pak" concept of easy to understand insurance coverage for individuals travelling from one country to another.</w:t>
      </w:r>
      <w:proofErr w:type="gramEnd"/>
      <w:r>
        <w:rPr>
          <w:rFonts w:cs="Arial"/>
          <w:sz w:val="24"/>
        </w:rPr>
        <w:t xml:space="preserve">  In 1971 Jack turned from the Property and Casualty Insurance </w:t>
      </w:r>
      <w:proofErr w:type="spellStart"/>
      <w:r>
        <w:rPr>
          <w:rFonts w:cs="Arial"/>
          <w:sz w:val="24"/>
        </w:rPr>
        <w:t>feld</w:t>
      </w:r>
      <w:proofErr w:type="spellEnd"/>
      <w:r>
        <w:rPr>
          <w:rFonts w:cs="Arial"/>
          <w:sz w:val="24"/>
        </w:rPr>
        <w:t xml:space="preserve"> to specialize in the insuring of the household goods industry and has developed his expertise since that time.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862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cs="Arial"/>
          <w:sz w:val="24"/>
        </w:rPr>
      </w:pPr>
      <w:r>
        <w:rPr>
          <w:rFonts w:cs="Arial"/>
          <w:sz w:val="24"/>
        </w:rPr>
        <w:t xml:space="preserve">Elmer </w:t>
      </w:r>
      <w:proofErr w:type="spellStart"/>
      <w:r>
        <w:rPr>
          <w:rFonts w:cs="Arial"/>
          <w:sz w:val="24"/>
        </w:rPr>
        <w:t>Fudd</w:t>
      </w:r>
      <w:proofErr w:type="spellEnd"/>
      <w:r>
        <w:rPr>
          <w:rFonts w:cs="Arial"/>
          <w:sz w:val="24"/>
        </w:rPr>
        <w:t>,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Minnie Mouse, Secretary/Treasurer, worked with Jack and Elmer for 12 years providing administrative support and settling claims.  She is responsible for the same </w:t>
      </w:r>
      <w:proofErr w:type="spellStart"/>
      <w:r>
        <w:rPr>
          <w:rFonts w:cs="Arial"/>
          <w:sz w:val="24"/>
        </w:rPr>
        <w:t>funtions</w:t>
      </w:r>
      <w:proofErr w:type="spellEnd"/>
      <w:r>
        <w:rPr>
          <w:rFonts w:cs="Arial"/>
          <w:sz w:val="24"/>
        </w:rPr>
        <w:t xml:space="preserve">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roofErr w:type="gramStart"/>
      <w:r>
        <w:rPr>
          <w:rFonts w:cs="Arial"/>
          <w:sz w:val="24"/>
        </w:rPr>
        <w:t>Plus additional support personnel.</w:t>
      </w:r>
      <w:proofErr w:type="gramEnd"/>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Pr="00862081"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4"/>
        </w:rPr>
      </w:pPr>
      <w:r w:rsidRPr="00862081">
        <w:rPr>
          <w:rFonts w:cs="Arial"/>
          <w:b/>
          <w:sz w:val="24"/>
        </w:rPr>
        <w:t>THE RISK BEARERS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sectPr w:rsidR="00342895">
          <w:endnotePr>
            <w:numFmt w:val="decimal"/>
          </w:endnotePr>
          <w:pgSz w:w="12240" w:h="15840"/>
          <w:pgMar w:top="1440" w:right="1440" w:bottom="1440" w:left="1440" w:header="1440" w:footer="1440" w:gutter="0"/>
          <w:cols w:space="720"/>
          <w:noEndnote/>
        </w:sect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4"/>
        </w:rPr>
      </w:pPr>
      <w:r>
        <w:rPr>
          <w:rFonts w:cs="Arial"/>
          <w:sz w:val="24"/>
        </w:rPr>
        <w:lastRenderedPageBreak/>
        <w:t xml:space="preserve">Each shipment which is insured is backed fully by Lloyd's of London.  Coverage is </w:t>
      </w:r>
      <w:r>
        <w:rPr>
          <w:rFonts w:cs="Arial"/>
          <w:sz w:val="24"/>
        </w:rPr>
        <w:lastRenderedPageBreak/>
        <w:t xml:space="preserve">placed through the London brokerage firm of Great Britain Ltd. who has specialized in providing transit insurance worldwide for many </w:t>
      </w:r>
      <w:proofErr w:type="spellStart"/>
      <w:r>
        <w:rPr>
          <w:rFonts w:cs="Arial"/>
          <w:sz w:val="24"/>
        </w:rPr>
        <w:t>years.Wright</w:t>
      </w:r>
      <w:proofErr w:type="spellEnd"/>
      <w:r>
        <w:rPr>
          <w:rFonts w:cs="Arial"/>
          <w:sz w:val="24"/>
        </w:rPr>
        <w:t xml:space="preserve"> v. State (1984), Ind. App., 471 N.E. 2d 1235, 1239</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We selected both of these organizations to work with your firm because of their fine </w:t>
      </w:r>
      <w:proofErr w:type="spellStart"/>
      <w:r>
        <w:rPr>
          <w:rFonts w:cs="Arial"/>
          <w:sz w:val="24"/>
        </w:rPr>
        <w:t>reputions</w:t>
      </w:r>
      <w:proofErr w:type="spellEnd"/>
      <w:r>
        <w:rPr>
          <w:rFonts w:cs="Arial"/>
          <w:sz w:val="24"/>
        </w:rPr>
        <w:t xml:space="preserve"> and their knowledge of insurance on the shipment of household goods and personal effects anywhere in the world.  The fact that you are providing insurance coverage through Lloyd's will have a reassuring effect upon the clients of Webster &amp; Company.</w:t>
      </w:r>
    </w:p>
    <w:p w:rsidR="00342895" w:rsidRPr="00862081"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4"/>
        </w:rPr>
      </w:pPr>
    </w:p>
    <w:p w:rsidR="00342895" w:rsidRPr="00862081"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4"/>
        </w:rPr>
      </w:pPr>
      <w:r w:rsidRPr="00862081">
        <w:rPr>
          <w:rFonts w:cs="Arial"/>
          <w:b/>
          <w:sz w:val="24"/>
        </w:rPr>
        <w:t>THE PRODUCT</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ABC provides all-risk transit insurance on domestic and inter</w:t>
      </w:r>
      <w:r>
        <w:rPr>
          <w:rFonts w:cs="Arial"/>
          <w:sz w:val="24"/>
        </w:rPr>
        <w:softHyphen/>
        <w:t>national shipments of household goods, personal effects, and private passenger automobiles.  Coverage is "residence-to-re</w:t>
      </w:r>
      <w:r>
        <w:rPr>
          <w:rFonts w:cs="Arial"/>
          <w:sz w:val="24"/>
        </w:rPr>
        <w:softHyphen/>
        <w:t>sidence" including the risks of packing.  Only the usual exclusions apply.  Some decided advantages included in this proposal for Webster International Inc. are: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War risks are included.  </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60 days free storage, origin and destination.</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No deductible.</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Pairs and Sets Exclusion buy back option. </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No exclusions for insects, moths and vermin.  </w:t>
      </w:r>
    </w:p>
    <w:p w:rsidR="00342895" w:rsidRDefault="00342895" w:rsidP="00862081">
      <w:pPr>
        <w:numPr>
          <w:ilvl w:val="0"/>
          <w:numId w:val="1"/>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Underwritten at Lloyd's of London.</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4"/>
        </w:rPr>
      </w:pPr>
      <w:r>
        <w:rPr>
          <w:rFonts w:cs="Arial"/>
          <w:sz w:val="24"/>
        </w:rPr>
        <w:t xml:space="preserve">Coverage is usually documented through the issuance of an insurance certificate which is provided to each relocating individual.  This provides the terms and conditions of the coverage and also instructions to follow in the event of a shipping </w:t>
      </w:r>
      <w:proofErr w:type="spellStart"/>
      <w:r>
        <w:rPr>
          <w:rFonts w:cs="Arial"/>
          <w:sz w:val="24"/>
        </w:rPr>
        <w:t>loss.Warden</w:t>
      </w:r>
      <w:proofErr w:type="spellEnd"/>
      <w:r>
        <w:rPr>
          <w:rFonts w:cs="Arial"/>
          <w:sz w:val="24"/>
        </w:rPr>
        <w:t xml:space="preserve">, Maryland </w:t>
      </w:r>
      <w:proofErr w:type="spellStart"/>
      <w:r>
        <w:rPr>
          <w:rFonts w:cs="Arial"/>
          <w:sz w:val="24"/>
        </w:rPr>
        <w:t>Pentitentiary</w:t>
      </w:r>
      <w:proofErr w:type="spellEnd"/>
      <w:r>
        <w:rPr>
          <w:rFonts w:cs="Arial"/>
          <w:sz w:val="24"/>
        </w:rPr>
        <w:t xml:space="preserve"> v. Hayden (1967), 387 U.S. 294, 87 </w:t>
      </w:r>
      <w:proofErr w:type="spellStart"/>
      <w:r>
        <w:rPr>
          <w:rFonts w:cs="Arial"/>
          <w:sz w:val="24"/>
        </w:rPr>
        <w:t>S.Ct</w:t>
      </w:r>
      <w:proofErr w:type="spellEnd"/>
      <w:r>
        <w:rPr>
          <w:rFonts w:cs="Arial"/>
          <w:sz w:val="24"/>
        </w:rPr>
        <w:t>. 1642, 18 L. Ed.2d 782</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PERMANENT STORAGE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Many corporations limit the household effects they will ship overseas for their employees.  Those effects not shipped are left behind in storage in a commercial warehouse until the employee returns home.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sectPr w:rsidR="00342895">
          <w:endnotePr>
            <w:numFmt w:val="decimal"/>
          </w:endnotePr>
          <w:type w:val="continuous"/>
          <w:pgSz w:w="12240" w:h="15840"/>
          <w:pgMar w:top="1440" w:right="1440" w:bottom="1440" w:left="1440" w:header="1440" w:footer="1440" w:gutter="0"/>
          <w:cols w:space="720"/>
          <w:noEndnote/>
        </w:sect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lastRenderedPageBreak/>
        <w:t xml:space="preserve">We have made provisions to cover these effects on an all-risk basis while stored in any commercial warehouse anywhere in the world.  This guarantees all relocating employees the same insurance protection no matter where their effects are </w:t>
      </w:r>
      <w:proofErr w:type="spellStart"/>
      <w:r>
        <w:rPr>
          <w:rFonts w:cs="Arial"/>
          <w:sz w:val="24"/>
        </w:rPr>
        <w:t>stored.Coolidge</w:t>
      </w:r>
      <w:proofErr w:type="spellEnd"/>
      <w:r>
        <w:rPr>
          <w:rFonts w:cs="Arial"/>
          <w:sz w:val="24"/>
        </w:rPr>
        <w:t xml:space="preserve"> v. New </w:t>
      </w:r>
      <w:proofErr w:type="spellStart"/>
      <w:r>
        <w:rPr>
          <w:rFonts w:cs="Arial"/>
          <w:sz w:val="24"/>
        </w:rPr>
        <w:t>Hampshipire</w:t>
      </w:r>
      <w:proofErr w:type="spellEnd"/>
      <w:r>
        <w:rPr>
          <w:rFonts w:cs="Arial"/>
          <w:sz w:val="24"/>
        </w:rPr>
        <w:t xml:space="preserve"> (1971), 401 </w:t>
      </w:r>
      <w:smartTag w:uri="urn:schemas-microsoft-com:office:smarttags" w:element="country-region">
        <w:smartTag w:uri="urn:schemas-microsoft-com:office:smarttags" w:element="place">
          <w:r>
            <w:rPr>
              <w:rFonts w:cs="Arial"/>
              <w:sz w:val="24"/>
            </w:rPr>
            <w:t>U.S.</w:t>
          </w:r>
        </w:smartTag>
      </w:smartTag>
      <w:r>
        <w:rPr>
          <w:rFonts w:cs="Arial"/>
          <w:sz w:val="24"/>
        </w:rPr>
        <w:t xml:space="preserve"> 443, </w:t>
      </w:r>
      <w:proofErr w:type="gramStart"/>
      <w:r>
        <w:rPr>
          <w:rFonts w:cs="Arial"/>
          <w:sz w:val="24"/>
        </w:rPr>
        <w:t>91 S.Ct.2022. 29 L.Ed.2d 564</w:t>
      </w:r>
      <w:proofErr w:type="gramEnd"/>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Coverage is offered on an actual cash value basis subject to the values declared by the </w:t>
      </w:r>
      <w:r>
        <w:rPr>
          <w:rFonts w:cs="Arial"/>
          <w:sz w:val="24"/>
        </w:rPr>
        <w:lastRenderedPageBreak/>
        <w:t>employee.  (Coverage on a replacement cost basis can be arranged).</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Coverage can also be extended to cover the transit of goods out of storage to their ultimate destination so there is continuity of coverage from the time goods are delivered into storage until they are returned to the employee.</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Our Underwriters have agreed to commence coverage on lots already in storage provided they are currently insured and subject to a visual external inspection.</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We also offer flexibility in increasing insurance coverage on lots stored for extended periods.  In some instances the insurance coverage is increased by the CPI annually or on any other index the client prefers.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Pr="00862081"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4"/>
        </w:rPr>
      </w:pPr>
      <w:r w:rsidRPr="00862081">
        <w:rPr>
          <w:rFonts w:cs="Arial"/>
          <w:b/>
          <w:sz w:val="24"/>
        </w:rPr>
        <w:t>CLAIMS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All claims are reported to ABC Insurance, Inc., and are acknowledged or settled within five business days of receipt of proper documentation.  In the event of major damage to a shipment, surveys may be conducted by a Lloyd's survey agent.</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w:t>
      </w:r>
      <w:proofErr w:type="spellStart"/>
      <w:r>
        <w:rPr>
          <w:rFonts w:cs="Arial"/>
          <w:sz w:val="24"/>
        </w:rPr>
        <w:t>occur.Wright</w:t>
      </w:r>
      <w:proofErr w:type="spellEnd"/>
      <w:r>
        <w:rPr>
          <w:rFonts w:cs="Arial"/>
          <w:sz w:val="24"/>
        </w:rPr>
        <w:t xml:space="preserve"> v. State (1984), Ind. App., 471 N.E. 2d 1235, 1239</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Claims draft authority of up to $750 per claim may be provided to Webster International Inc., if desired.</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center" w:pos="4680"/>
          <w:tab w:val="left" w:pos="5040"/>
          <w:tab w:val="left" w:pos="5760"/>
          <w:tab w:val="left" w:pos="6480"/>
          <w:tab w:val="left" w:pos="7200"/>
          <w:tab w:val="left" w:pos="7920"/>
          <w:tab w:val="left" w:pos="8640"/>
          <w:tab w:val="left" w:pos="9360"/>
        </w:tabs>
        <w:rPr>
          <w:rFonts w:cs="Arial"/>
          <w:sz w:val="24"/>
        </w:rPr>
      </w:pPr>
      <w:r>
        <w:rPr>
          <w:rFonts w:cs="Arial"/>
          <w:sz w:val="24"/>
        </w:rPr>
        <w:tab/>
      </w:r>
      <w:r>
        <w:rPr>
          <w:rFonts w:cs="Arial"/>
          <w:b/>
          <w:bCs/>
          <w:sz w:val="28"/>
          <w:szCs w:val="28"/>
        </w:rPr>
        <w:t>References</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roofErr w:type="spellStart"/>
      <w:r>
        <w:rPr>
          <w:rFonts w:cs="Arial"/>
          <w:sz w:val="24"/>
        </w:rPr>
        <w:t>Keele</w:t>
      </w:r>
      <w:proofErr w:type="spellEnd"/>
      <w:r>
        <w:rPr>
          <w:rFonts w:cs="Arial"/>
          <w:sz w:val="24"/>
        </w:rPr>
        <w:t xml:space="preserve">, Howard.  </w:t>
      </w:r>
      <w:r>
        <w:rPr>
          <w:rFonts w:cs="Arial"/>
          <w:sz w:val="24"/>
          <w:u w:val="single"/>
        </w:rPr>
        <w:t xml:space="preserve">Remodeling and Recycling: One Man's Vision of the Past, Present, and Future. </w:t>
      </w:r>
      <w:r>
        <w:rPr>
          <w:rFonts w:cs="Arial"/>
          <w:sz w:val="24"/>
        </w:rPr>
        <w:t xml:space="preserve"> </w:t>
      </w:r>
      <w:smartTag w:uri="urn:schemas-microsoft-com:office:smarttags" w:element="City">
        <w:smartTag w:uri="urn:schemas-microsoft-com:office:smarttags" w:element="place">
          <w:r>
            <w:rPr>
              <w:rFonts w:cs="Arial"/>
              <w:sz w:val="24"/>
            </w:rPr>
            <w:t>London</w:t>
          </w:r>
        </w:smartTag>
      </w:smartTag>
      <w:r>
        <w:rPr>
          <w:rFonts w:cs="Arial"/>
          <w:sz w:val="24"/>
        </w:rPr>
        <w:t>:  Harper and Sons Publishing, 1984.</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sectPr w:rsidR="00342895">
          <w:endnotePr>
            <w:numFmt w:val="decimal"/>
          </w:endnotePr>
          <w:type w:val="continuous"/>
          <w:pgSz w:w="12240" w:h="15840"/>
          <w:pgMar w:top="1440" w:right="1440" w:bottom="1440" w:left="1440" w:header="1440" w:footer="1440" w:gutter="0"/>
          <w:cols w:space="720"/>
          <w:noEndnote/>
        </w:sect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lastRenderedPageBreak/>
        <w:t xml:space="preserve">Gomes-Hansen, Janet.  </w:t>
      </w:r>
      <w:proofErr w:type="gramStart"/>
      <w:r>
        <w:rPr>
          <w:rFonts w:cs="Arial"/>
          <w:sz w:val="24"/>
        </w:rPr>
        <w:t>"Why Light Buildings at Night?"</w:t>
      </w:r>
      <w:proofErr w:type="gramEnd"/>
      <w:r>
        <w:rPr>
          <w:rFonts w:cs="Arial"/>
          <w:sz w:val="24"/>
        </w:rPr>
        <w:t xml:space="preserve">  </w:t>
      </w:r>
      <w:proofErr w:type="gramStart"/>
      <w:r>
        <w:rPr>
          <w:rFonts w:cs="Arial"/>
          <w:sz w:val="24"/>
          <w:u w:val="single"/>
        </w:rPr>
        <w:t>Recycling Today</w:t>
      </w:r>
      <w:r>
        <w:rPr>
          <w:rFonts w:cs="Arial"/>
          <w:sz w:val="24"/>
        </w:rPr>
        <w:t xml:space="preserve"> </w:t>
      </w:r>
      <w:smartTag w:uri="urn:schemas-microsoft-com:office:smarttags" w:element="date">
        <w:smartTagPr>
          <w:attr w:name="Month" w:val="9"/>
          <w:attr w:name="Day" w:val="15"/>
          <w:attr w:name="Year" w:val="1990"/>
        </w:smartTagPr>
        <w:r>
          <w:rPr>
            <w:rFonts w:cs="Arial"/>
            <w:sz w:val="24"/>
          </w:rPr>
          <w:t>15 September 1990</w:t>
        </w:r>
      </w:smartTag>
      <w:r>
        <w:rPr>
          <w:rFonts w:cs="Arial"/>
          <w:sz w:val="24"/>
        </w:rPr>
        <w:t>:  32-35.</w:t>
      </w:r>
      <w:proofErr w:type="gramEnd"/>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r>
        <w:rPr>
          <w:rFonts w:cs="Arial"/>
          <w:sz w:val="24"/>
        </w:rPr>
        <w:t xml:space="preserve">Divac, Ivan.  "The Inverse Relationship </w:t>
      </w:r>
      <w:proofErr w:type="gramStart"/>
      <w:r>
        <w:rPr>
          <w:rFonts w:cs="Arial"/>
          <w:sz w:val="24"/>
        </w:rPr>
        <w:t>Between</w:t>
      </w:r>
      <w:proofErr w:type="gramEnd"/>
      <w:r>
        <w:rPr>
          <w:rFonts w:cs="Arial"/>
          <w:sz w:val="24"/>
        </w:rPr>
        <w:t xml:space="preserve"> Interoffice Communication and Office Efficiency."  </w:t>
      </w:r>
      <w:r>
        <w:rPr>
          <w:rFonts w:cs="Arial"/>
          <w:sz w:val="24"/>
          <w:u w:val="single"/>
        </w:rPr>
        <w:t>Organizational Ecology</w:t>
      </w:r>
      <w:r>
        <w:rPr>
          <w:rFonts w:cs="Arial"/>
          <w:sz w:val="24"/>
        </w:rPr>
        <w:t xml:space="preserve"> 15.1 (1992): 5-22.</w:t>
      </w:r>
    </w:p>
    <w:p w:rsidR="00342895" w:rsidRDefault="003428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4"/>
        </w:rPr>
      </w:pPr>
    </w:p>
    <w:sectPr w:rsidR="00342895">
      <w:endnotePr>
        <w:numFmt w:val="decimal"/>
      </w:endnotePr>
      <w:type w:val="continuous"/>
      <w:pgSz w:w="12240" w:h="15840"/>
      <w:pgMar w:top="1440" w:right="1440" w:bottom="1440" w:left="144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BD660F"/>
    <w:multiLevelType w:val="hybridMultilevel"/>
    <w:tmpl w:val="672EAE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081"/>
    <w:rsid w:val="000012F9"/>
    <w:rsid w:val="00342895"/>
    <w:rsid w:val="003940A7"/>
    <w:rsid w:val="00532178"/>
    <w:rsid w:val="00862081"/>
    <w:rsid w:val="00AF6370"/>
    <w:rsid w:val="00B60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dat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Arial" w:hAnsi="Arial"/>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Arial" w:hAnsi="Arial"/>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1000</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6489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mkeating</cp:lastModifiedBy>
  <cp:revision>2</cp:revision>
  <dcterms:created xsi:type="dcterms:W3CDTF">2011-02-04T15:45:00Z</dcterms:created>
  <dcterms:modified xsi:type="dcterms:W3CDTF">2011-02-04T15:45:00Z</dcterms:modified>
</cp:coreProperties>
</file>